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2B" w:rsidRPr="0074552B" w:rsidRDefault="00D42326">
      <w:pPr>
        <w:pStyle w:val="a0"/>
        <w:spacing w:before="120" w:after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4552B">
        <w:rPr>
          <w:rFonts w:ascii="Times New Roman" w:hAnsi="Times New Roman" w:cs="Times New Roman"/>
          <w:b/>
          <w:i/>
          <w:sz w:val="24"/>
          <w:szCs w:val="24"/>
          <w:lang w:val="en-US"/>
        </w:rPr>
        <w:t>Victor V. Gorbatov</w:t>
      </w:r>
    </w:p>
    <w:p w:rsidR="00AE2222" w:rsidRPr="0074552B" w:rsidRDefault="00D42326">
      <w:pPr>
        <w:pStyle w:val="a0"/>
        <w:spacing w:before="120" w:after="0"/>
        <w:jc w:val="center"/>
        <w:rPr>
          <w:sz w:val="24"/>
          <w:szCs w:val="24"/>
          <w:lang w:val="en-US"/>
        </w:rPr>
      </w:pPr>
      <w:r w:rsidRPr="007455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Why Don't 2D Jokes Fall Flat? </w:t>
      </w:r>
    </w:p>
    <w:p w:rsidR="00AE2222" w:rsidRPr="0074552B" w:rsidRDefault="00D42326">
      <w:pPr>
        <w:pStyle w:val="a0"/>
        <w:spacing w:before="120" w:after="0"/>
        <w:jc w:val="center"/>
        <w:rPr>
          <w:sz w:val="24"/>
          <w:szCs w:val="24"/>
          <w:lang w:val="en-US"/>
        </w:rPr>
      </w:pPr>
      <w:r w:rsidRPr="007455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Two-dimensional Interpretation of Russell's Joke about the </w:t>
      </w:r>
      <w:r w:rsidRPr="007455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yachts</w:t>
      </w:r>
    </w:p>
    <w:p w:rsidR="00AE2222" w:rsidRPr="0074552B" w:rsidRDefault="00AE2222">
      <w:pPr>
        <w:pStyle w:val="a0"/>
        <w:spacing w:before="120" w:after="0"/>
        <w:ind w:firstLine="284"/>
        <w:jc w:val="both"/>
        <w:rPr>
          <w:lang w:val="en-US"/>
        </w:rPr>
      </w:pPr>
    </w:p>
    <w:p w:rsidR="00FB7D27" w:rsidRDefault="00D42326" w:rsidP="0074552B">
      <w:pPr>
        <w:pStyle w:val="a0"/>
        <w:spacing w:before="120" w:after="0"/>
        <w:ind w:firstLine="426"/>
        <w:jc w:val="both"/>
        <w:rPr>
          <w:rStyle w:val="alt-edited"/>
          <w:rFonts w:ascii="Times New Roman" w:hAnsi="Times New Roman" w:cs="Times New Roman"/>
          <w:sz w:val="24"/>
          <w:szCs w:val="24"/>
          <w:lang w:val="en-US"/>
        </w:rPr>
      </w:pPr>
      <w:r w:rsidRPr="00026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</w:t>
      </w:r>
      <w:r w:rsidR="0074552B" w:rsidRPr="00026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</w:t>
      </w:r>
      <w:r w:rsidRPr="00026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critical comments on “On Denoting”, Saul Kripke says that Russell's famous analysis of joke about </w:t>
      </w:r>
      <w:r w:rsidRPr="00026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yachts in terms of degrees and graded positives is incorrect. H</w:t>
      </w:r>
      <w:r w:rsidRPr="00026FEA">
        <w:rPr>
          <w:rFonts w:ascii="Times New Roman" w:hAnsi="Times New Roman" w:cs="Times New Roman"/>
          <w:sz w:val="24"/>
          <w:szCs w:val="24"/>
          <w:lang w:val="en-US"/>
        </w:rPr>
        <w:t>is criticism has given rise to a number of issues related to</w:t>
      </w:r>
      <w:r w:rsidRPr="00026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interpreting cross-world comparisons like “</w:t>
      </w:r>
      <w:r w:rsidRPr="00026FE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26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might have been greater than it is” in doxastic contexts like “John believes that P”. </w:t>
      </w:r>
      <w:r w:rsidR="00026FEA">
        <w:rPr>
          <w:rFonts w:ascii="Times New Roman" w:hAnsi="Times New Roman" w:cs="Times New Roman"/>
          <w:sz w:val="24"/>
          <w:szCs w:val="24"/>
          <w:lang w:val="en-US"/>
        </w:rPr>
        <w:t xml:space="preserve">There have </w:t>
      </w:r>
      <w:r w:rsidR="00026FEA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 xml:space="preserve">been many attempts to </w:t>
      </w:r>
      <w:r w:rsidR="00FB7D27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 xml:space="preserve">conceptualize such </w:t>
      </w:r>
      <w:r w:rsidR="00FB7D27" w:rsidRPr="00026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comparisons</w:t>
      </w:r>
      <w:r w:rsidR="00FB7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e.g.,</w:t>
      </w:r>
      <w:r w:rsidR="00026FEA" w:rsidRPr="00026FEA">
        <w:rPr>
          <w:rFonts w:ascii="Times New Roman" w:hAnsi="Times New Roman" w:cs="Times New Roman"/>
          <w:sz w:val="24"/>
          <w:szCs w:val="24"/>
          <w:lang/>
        </w:rPr>
        <w:t xml:space="preserve"> "numeric", "object" and "mentalist" interpretation, discussed in detail in </w:t>
      </w:r>
      <w:r w:rsidR="00FB7D27">
        <w:rPr>
          <w:rFonts w:ascii="Times New Roman" w:hAnsi="Times New Roman" w:cs="Times New Roman"/>
          <w:sz w:val="24"/>
          <w:szCs w:val="24"/>
          <w:lang/>
        </w:rPr>
        <w:t>a series of articles 2013-2015 by</w:t>
      </w:r>
      <w:r w:rsidR="00026FEA" w:rsidRPr="00026FEA">
        <w:rPr>
          <w:rFonts w:ascii="Times New Roman" w:hAnsi="Times New Roman" w:cs="Times New Roman"/>
          <w:sz w:val="24"/>
          <w:szCs w:val="24"/>
          <w:lang/>
        </w:rPr>
        <w:t xml:space="preserve"> V</w:t>
      </w:r>
      <w:r w:rsidR="00FB7D27">
        <w:rPr>
          <w:rFonts w:ascii="Times New Roman" w:hAnsi="Times New Roman" w:cs="Times New Roman"/>
          <w:sz w:val="24"/>
          <w:szCs w:val="24"/>
          <w:lang/>
        </w:rPr>
        <w:t>alery</w:t>
      </w:r>
      <w:r w:rsidR="00026FEA" w:rsidRPr="00026FEA">
        <w:rPr>
          <w:rFonts w:ascii="Times New Roman" w:hAnsi="Times New Roman" w:cs="Times New Roman"/>
          <w:sz w:val="24"/>
          <w:szCs w:val="24"/>
          <w:lang/>
        </w:rPr>
        <w:t xml:space="preserve"> Surovtsev </w:t>
      </w:r>
      <w:r w:rsidR="00FB7D27">
        <w:rPr>
          <w:rFonts w:ascii="Times New Roman" w:hAnsi="Times New Roman" w:cs="Times New Roman"/>
          <w:sz w:val="24"/>
          <w:szCs w:val="24"/>
          <w:lang/>
        </w:rPr>
        <w:t>[</w:t>
      </w:r>
      <w:r w:rsidR="00FB7D27">
        <w:rPr>
          <w:rFonts w:ascii="Times New Roman" w:hAnsi="Times New Roman" w:cs="Times New Roman"/>
          <w:sz w:val="24"/>
          <w:szCs w:val="24"/>
          <w:lang w:val="en-US"/>
        </w:rPr>
        <w:t>Surovtsev</w:t>
      </w:r>
      <w:r w:rsidR="00FB7D27" w:rsidRPr="00026F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B7D27">
        <w:rPr>
          <w:rFonts w:ascii="Times New Roman" w:hAnsi="Times New Roman" w:cs="Times New Roman"/>
          <w:sz w:val="24"/>
          <w:szCs w:val="24"/>
          <w:lang/>
        </w:rPr>
        <w:t xml:space="preserve"> 2013</w:t>
      </w:r>
      <w:r w:rsidR="00FB7D27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026FEA" w:rsidRPr="00FB7D27">
        <w:rPr>
          <w:rFonts w:ascii="Times New Roman" w:hAnsi="Times New Roman" w:cs="Times New Roman"/>
          <w:sz w:val="24"/>
          <w:szCs w:val="24"/>
          <w:lang/>
        </w:rPr>
        <w:t xml:space="preserve">and </w:t>
      </w:r>
      <w:r w:rsidR="00FB7D27" w:rsidRPr="00FB7D27">
        <w:rPr>
          <w:rFonts w:ascii="Times New Roman" w:hAnsi="Times New Roman" w:cs="Times New Roman"/>
          <w:sz w:val="24"/>
          <w:szCs w:val="24"/>
          <w:lang/>
        </w:rPr>
        <w:t xml:space="preserve">Evgeny </w:t>
      </w:r>
      <w:r w:rsidR="00026FEA" w:rsidRPr="00FB7D27">
        <w:rPr>
          <w:rFonts w:ascii="Times New Roman" w:hAnsi="Times New Roman" w:cs="Times New Roman"/>
          <w:sz w:val="24"/>
          <w:szCs w:val="24"/>
          <w:lang/>
        </w:rPr>
        <w:t>Borisov</w:t>
      </w:r>
      <w:r w:rsidR="00FB7D27" w:rsidRPr="00FB7D27">
        <w:rPr>
          <w:rFonts w:ascii="Times New Roman" w:hAnsi="Times New Roman" w:cs="Times New Roman"/>
          <w:sz w:val="24"/>
          <w:szCs w:val="24"/>
          <w:lang/>
        </w:rPr>
        <w:t xml:space="preserve"> [</w:t>
      </w:r>
      <w:r w:rsidR="00FB7D27" w:rsidRPr="00FB7D27">
        <w:rPr>
          <w:rFonts w:ascii="Times New Roman" w:hAnsi="Times New Roman" w:cs="Times New Roman"/>
          <w:sz w:val="24"/>
          <w:szCs w:val="24"/>
          <w:lang w:val="en-US"/>
        </w:rPr>
        <w:t>Borisov 2013, 2015]</w:t>
      </w:r>
      <w:r w:rsidR="00026FEA" w:rsidRPr="00FB7D27">
        <w:rPr>
          <w:rFonts w:ascii="Times New Roman" w:hAnsi="Times New Roman" w:cs="Times New Roman"/>
          <w:sz w:val="24"/>
          <w:szCs w:val="24"/>
          <w:lang/>
        </w:rPr>
        <w:t>.</w:t>
      </w:r>
      <w:r w:rsidR="00FB7D27" w:rsidRPr="00FB7D27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7D27" w:rsidRPr="00FB7D27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I </w:t>
      </w:r>
      <w:r w:rsidR="00FB7D27" w:rsidRPr="00FB7D27">
        <w:rPr>
          <w:rStyle w:val="alt-edited"/>
          <w:rFonts w:ascii="Times New Roman" w:hAnsi="Times New Roman" w:cs="Times New Roman"/>
          <w:sz w:val="24"/>
          <w:szCs w:val="24"/>
          <w:lang/>
        </w:rPr>
        <w:t>greatly indebted to</w:t>
      </w:r>
      <w:r w:rsidR="00FB7D27" w:rsidRPr="00FB7D27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 their works, but for the moment </w:t>
      </w:r>
      <w:r w:rsidR="00FB7D27" w:rsidRPr="00FB7D27">
        <w:rPr>
          <w:rFonts w:ascii="Times New Roman" w:hAnsi="Times New Roman" w:cs="Times New Roman"/>
          <w:sz w:val="24"/>
          <w:szCs w:val="24"/>
          <w:lang/>
        </w:rPr>
        <w:t xml:space="preserve">I have to confine myself to one aspect of the problem, namely, </w:t>
      </w:r>
      <w:r w:rsidR="00FB7D27" w:rsidRPr="00FB7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cross-world predication in intensional contexts.</w:t>
      </w:r>
    </w:p>
    <w:p w:rsidR="00AE2222" w:rsidRPr="0074552B" w:rsidRDefault="00D42326" w:rsidP="0074552B">
      <w:pPr>
        <w:pStyle w:val="a0"/>
        <w:spacing w:before="120" w:after="0"/>
        <w:ind w:firstLine="426"/>
        <w:jc w:val="both"/>
        <w:rPr>
          <w:lang w:val="en-US"/>
        </w:rPr>
      </w:pPr>
      <w:r w:rsidRPr="00026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026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 main goal of this </w:t>
      </w:r>
      <w:r w:rsidR="0074552B" w:rsidRPr="00026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talk</w:t>
      </w:r>
      <w:r w:rsidRPr="00026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to compare two approaches </w:t>
      </w:r>
      <w:r w:rsidR="00FB7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 issue</w:t>
      </w:r>
      <w:r w:rsidRPr="00026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One is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Wehmeier’s </w:t>
      </w:r>
      <w:r>
        <w:rPr>
          <w:rStyle w:val="st"/>
          <w:rFonts w:ascii="Times New Roman" w:hAnsi="Times New Roman" w:cs="Times New Roman"/>
          <w:sz w:val="24"/>
          <w:szCs w:val="24"/>
          <w:lang w:val="en-US"/>
        </w:rPr>
        <w:t>subjunctive modal framework</w:t>
      </w:r>
      <w:r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 xml:space="preserve"> which </w:t>
      </w:r>
      <w:r>
        <w:rPr>
          <w:rFonts w:ascii="Times New Roman" w:hAnsi="Times New Roman" w:cs="Times New Roman"/>
          <w:sz w:val="24"/>
          <w:szCs w:val="24"/>
          <w:lang w:val="en-US"/>
        </w:rPr>
        <w:t>distinctive</w:t>
      </w:r>
      <w:r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 xml:space="preserve"> feature is the use of two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explicit mood markers</w:t>
      </w:r>
      <w:r>
        <w:rPr>
          <w:rFonts w:ascii="Times New Roman" w:hAnsi="Times New Roman" w:cs="Times New Roman"/>
          <w:sz w:val="24"/>
          <w:szCs w:val="24"/>
          <w:lang w:val="en-US"/>
        </w:rPr>
        <w:t>. The other is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Chalmers’s generalized epistemic two-dimensionalism,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based on the idea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assigning all our expressions two kinds of intensions. </w:t>
      </w:r>
      <w:r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Despite the fact that these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approaches have of lot in common, they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provide different interpretations of belief reports about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ross-world comparisons. I argue that epistemic 2D framework is </w:t>
      </w:r>
      <w:r>
        <w:rPr>
          <w:rStyle w:val="alt-edited"/>
          <w:rFonts w:ascii="Times New Roman" w:hAnsi="Times New Roman" w:cs="Times New Roman"/>
          <w:sz w:val="24"/>
          <w:szCs w:val="24"/>
          <w:lang w:val="en-US"/>
        </w:rPr>
        <w:t xml:space="preserve">philosophically more relevant here than </w:t>
      </w:r>
      <w:r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subjunctive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markers </w:t>
      </w:r>
      <w:r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>approach.</w:t>
      </w:r>
    </w:p>
    <w:p w:rsidR="00AE2222" w:rsidRPr="0074552B" w:rsidRDefault="00D42326">
      <w:pPr>
        <w:pStyle w:val="a0"/>
        <w:spacing w:before="120" w:after="0"/>
        <w:ind w:firstLine="426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Dealing with the joke about yachts Russell </w:t>
      </w:r>
      <w:r w:rsidR="007455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[Russell 1905]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makes use of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notion of quantifier scope and employs quantiﬁcation over certain abstract objects (degrees) associated with the predicates attributed across worlds. Let us recall the famous story of the irritable yachtsman:</w:t>
      </w:r>
    </w:p>
    <w:p w:rsidR="00AE2222" w:rsidRPr="0074552B" w:rsidRDefault="00D42326">
      <w:pPr>
        <w:pStyle w:val="a0"/>
        <w:spacing w:before="120" w:after="0"/>
        <w:ind w:left="426" w:right="424"/>
        <w:jc w:val="both"/>
        <w:rPr>
          <w:lang w:val="en-US"/>
        </w:rPr>
      </w:pPr>
      <w:r>
        <w:rPr>
          <w:rFonts w:ascii="Times New Roman" w:hAnsi="Times New Roman" w:cs="Times New Roman"/>
          <w:lang w:val="en-US"/>
        </w:rPr>
        <w:t>When we say … “So-and-so is surprising” or “So</w:t>
      </w:r>
      <w:r>
        <w:rPr>
          <w:rFonts w:ascii="Times New Roman" w:hAnsi="Times New Roman" w:cs="Times New Roman"/>
          <w:lang w:val="en-US"/>
        </w:rPr>
        <w:t>-and-so is true,” etc., the “so-and-so” must be a proposition. Suppose now that “so-and-so” contains a denoting phrase. We may either eliminate this denoting phrase from the subordinate proposition “so-and-so,” or from the whole proposition in which ‘so-an</w:t>
      </w:r>
      <w:r>
        <w:rPr>
          <w:rFonts w:ascii="Times New Roman" w:hAnsi="Times New Roman" w:cs="Times New Roman"/>
          <w:lang w:val="en-US"/>
        </w:rPr>
        <w:t xml:space="preserve">d-so’ is a mere constituent. Diﬀerent propositions result according to which we do. I have heard of a touchy owner of yacht to whom a guest, on ﬁrst seeing it, remarked, “I thought your yacht was larger than it is”; and the owner replied, “No, my yacht is </w:t>
      </w:r>
      <w:r>
        <w:rPr>
          <w:rFonts w:ascii="Times New Roman" w:hAnsi="Times New Roman" w:cs="Times New Roman"/>
          <w:lang w:val="en-US"/>
        </w:rPr>
        <w:t>not larger than it is”. [Russell, 1905, p. 52].</w:t>
      </w:r>
    </w:p>
    <w:p w:rsidR="00AE2222" w:rsidRPr="0074552B" w:rsidRDefault="00D42326" w:rsidP="00026FEA">
      <w:pPr>
        <w:pStyle w:val="a0"/>
        <w:spacing w:before="120" w:after="0"/>
        <w:rPr>
          <w:lang w:val="en-US"/>
        </w:rPr>
      </w:pPr>
      <w:r>
        <w:rPr>
          <w:rStyle w:val="alt-edited"/>
          <w:rFonts w:ascii="Times New Roman" w:hAnsi="Times New Roman" w:cs="Times New Roman"/>
          <w:sz w:val="24"/>
          <w:szCs w:val="24"/>
          <w:lang w:val="en-US"/>
        </w:rPr>
        <w:t>Let us denote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original sentence as (1) and its possible interpretation as (2) and (3):</w:t>
      </w:r>
    </w:p>
    <w:p w:rsidR="00AE2222" w:rsidRPr="0074552B" w:rsidRDefault="00D42326">
      <w:pPr>
        <w:pStyle w:val="a0"/>
        <w:spacing w:before="120" w:after="0"/>
        <w:ind w:firstLine="426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(1) I thought your yacht was larger than it is.</w:t>
      </w:r>
    </w:p>
    <w:p w:rsidR="00AE2222" w:rsidRPr="0074552B" w:rsidRDefault="00D42326">
      <w:pPr>
        <w:pStyle w:val="a0"/>
        <w:spacing w:before="120" w:after="0"/>
        <w:ind w:firstLine="426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(2) The size that I thought your yacht was is greater than the size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your yacht is.</w:t>
      </w:r>
    </w:p>
    <w:p w:rsidR="00AE2222" w:rsidRPr="0074552B" w:rsidRDefault="00D42326">
      <w:pPr>
        <w:pStyle w:val="a0"/>
        <w:spacing w:before="120" w:after="0"/>
        <w:ind w:firstLine="426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(3) I thought that the size of your yacht was greater than the size of your yacht.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AE2222" w:rsidRPr="0074552B" w:rsidRDefault="00D42326">
      <w:pPr>
        <w:pStyle w:val="a0"/>
        <w:spacing w:before="120" w:after="0"/>
        <w:ind w:firstLine="42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Now the misunderstanding can be explained in terms of </w:t>
      </w:r>
      <w:r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>quantifier scope. Sentences (1) and (2) turns into the following formulas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(where s(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stands for “the size of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”, and B is the doxastic operator “the guest believes that”):</w:t>
      </w:r>
    </w:p>
    <w:p w:rsidR="00AE2222" w:rsidRPr="0074552B" w:rsidRDefault="00D42326">
      <w:pPr>
        <w:pStyle w:val="a0"/>
        <w:spacing w:before="120" w:after="0"/>
        <w:ind w:firstLine="42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(2’) </w:t>
      </w:r>
      <w:r>
        <w:rPr>
          <w:rFonts w:ascii="Symbol" w:hAnsi="Symbol" w:cs="Times New Roman"/>
          <w:sz w:val="24"/>
          <w:szCs w:val="24"/>
          <w:lang w:val="en-US"/>
        </w:rPr>
        <w:t>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(B(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=s(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)) &amp;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&gt;s(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))</w:t>
      </w:r>
    </w:p>
    <w:p w:rsidR="00AE2222" w:rsidRPr="0074552B" w:rsidRDefault="00D42326">
      <w:pPr>
        <w:pStyle w:val="a0"/>
        <w:spacing w:before="120" w:after="0"/>
        <w:ind w:firstLine="42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(3’) B</w:t>
      </w:r>
      <w:r>
        <w:rPr>
          <w:rFonts w:ascii="Symbol" w:hAnsi="Symbol" w:cs="Times New Roman"/>
          <w:sz w:val="24"/>
          <w:szCs w:val="24"/>
          <w:lang w:val="en-US"/>
        </w:rPr>
        <w:t>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=s(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&amp;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&gt;s(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))</w:t>
      </w:r>
    </w:p>
    <w:p w:rsidR="00AE2222" w:rsidRPr="0074552B" w:rsidRDefault="00D42326">
      <w:pPr>
        <w:pStyle w:val="a0"/>
        <w:spacing w:before="120" w:after="0"/>
        <w:ind w:firstLine="425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According to Russell, (2’) is what the guest actually meant, </w:t>
      </w:r>
      <w:r>
        <w:rPr>
          <w:rStyle w:val="shorttext"/>
          <w:rFonts w:ascii="Times New Roman" w:hAnsi="Times New Roman" w:cs="Times New Roman"/>
          <w:sz w:val="24"/>
          <w:szCs w:val="24"/>
          <w:lang w:val="en-US"/>
        </w:rPr>
        <w:t>whereas</w:t>
      </w:r>
      <w:r>
        <w:rPr>
          <w:rStyle w:val="shorttex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(3') is the meaning attributed to him by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yachtsman.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Kripke </w:t>
      </w:r>
      <w:r>
        <w:rPr>
          <w:rFonts w:ascii="Times New Roman" w:hAnsi="Times New Roman" w:cs="Times New Roman"/>
          <w:sz w:val="24"/>
          <w:szCs w:val="24"/>
          <w:lang w:val="en-US"/>
        </w:rPr>
        <w:t>notes that Russell is right in general: “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scope does matter in intensional contexts” [Kripke, 2005, p.1005]. At the same time he alleges that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(2') fails adequately to formalize (2), because it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attributes an overly specific view to the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uest, namely the view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the form B(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s(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)), which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implies existence of a unique size the guest thought the yacht was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[Kripke, 2005, p.1021]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E2222" w:rsidRPr="0074552B" w:rsidRDefault="00D42326">
      <w:pPr>
        <w:pStyle w:val="a0"/>
        <w:spacing w:before="120" w:after="0"/>
        <w:ind w:firstLine="425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Russellian “degree approach” faces </w:t>
      </w:r>
      <w:r w:rsidR="0074552B">
        <w:rPr>
          <w:rFonts w:ascii="Times New Roman" w:hAnsi="Times New Roman" w:cs="Times New Roman"/>
          <w:sz w:val="24"/>
          <w:szCs w:val="24"/>
          <w:lang w:val="en-US"/>
        </w:rPr>
        <w:t>some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conceptual problems</w:t>
      </w:r>
      <w:r w:rsidR="0074552B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74552B" w:rsidRPr="0074552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4552B">
        <w:rPr>
          <w:rFonts w:ascii="Times New Roman" w:hAnsi="Times New Roman" w:cs="Times New Roman"/>
          <w:b/>
          <w:sz w:val="24"/>
          <w:szCs w:val="24"/>
          <w:lang w:val="en-US"/>
        </w:rPr>
        <w:t>priority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552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Russell supposes that the guest previously had some idea of the size of the yacht, but that need not be true</w:t>
      </w:r>
      <w:r w:rsidR="0074552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74552B" w:rsidRPr="0074552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4552B">
        <w:rPr>
          <w:rFonts w:ascii="Times New Roman" w:hAnsi="Times New Roman" w:cs="Times New Roman"/>
          <w:b/>
          <w:sz w:val="24"/>
          <w:szCs w:val="24"/>
          <w:lang w:val="en-US"/>
        </w:rPr>
        <w:t>agueness</w:t>
      </w:r>
      <w:r w:rsidR="0074552B">
        <w:rPr>
          <w:rFonts w:ascii="Times New Roman" w:hAnsi="Times New Roman" w:cs="Times New Roman"/>
          <w:sz w:val="24"/>
          <w:szCs w:val="24"/>
          <w:lang w:val="en-US"/>
        </w:rPr>
        <w:t xml:space="preserve"> (E</w:t>
      </w:r>
      <w:r>
        <w:rPr>
          <w:rFonts w:ascii="Times New Roman" w:hAnsi="Times New Roman" w:cs="Times New Roman"/>
          <w:sz w:val="24"/>
          <w:szCs w:val="24"/>
          <w:lang w:val="en-US"/>
        </w:rPr>
        <w:t>ven if the guest had some idea of the size of the yacht, it need not be exact</w:t>
      </w:r>
      <w:r w:rsidR="0074552B">
        <w:rPr>
          <w:rFonts w:ascii="Times New Roman" w:hAnsi="Times New Roman" w:cs="Times New Roman"/>
          <w:sz w:val="24"/>
          <w:szCs w:val="24"/>
          <w:lang w:val="en-US"/>
        </w:rPr>
        <w:t>)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552B" w:rsidRPr="0074552B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74552B">
        <w:rPr>
          <w:rFonts w:ascii="Times New Roman" w:hAnsi="Times New Roman" w:cs="Times New Roman"/>
          <w:b/>
          <w:sz w:val="24"/>
          <w:szCs w:val="24"/>
          <w:lang w:val="en-US"/>
        </w:rPr>
        <w:t>latonism</w:t>
      </w:r>
      <w:r w:rsidRPr="00745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552B">
        <w:rPr>
          <w:rFonts w:ascii="Times New Roman" w:hAnsi="Times New Roman" w:cs="Times New Roman"/>
          <w:sz w:val="24"/>
          <w:szCs w:val="24"/>
          <w:lang w:val="en-US"/>
        </w:rPr>
        <w:t>(T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his approach </w:t>
      </w:r>
      <w:r w:rsidR="0074552B">
        <w:rPr>
          <w:rFonts w:ascii="Times New Roman" w:hAnsi="Times New Roman" w:cs="Times New Roman"/>
          <w:sz w:val="24"/>
          <w:szCs w:val="24"/>
          <w:lang w:val="en-US"/>
        </w:rPr>
        <w:t>has strong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“ontological commitment” to certain abstract objects</w:t>
      </w:r>
      <w:r w:rsidR="0074552B">
        <w:rPr>
          <w:rFonts w:ascii="Times New Roman" w:hAnsi="Times New Roman" w:cs="Times New Roman"/>
          <w:sz w:val="24"/>
          <w:szCs w:val="24"/>
          <w:lang w:val="en-US"/>
        </w:rPr>
        <w:t xml:space="preserve"> – degrees and positives)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Style w:val="alt-edited"/>
          <w:rFonts w:ascii="Times New Roman" w:hAnsi="Times New Roman" w:cs="Times New Roman"/>
          <w:sz w:val="24"/>
          <w:szCs w:val="24"/>
          <w:lang w:val="en-US"/>
        </w:rPr>
        <w:t>issues listed above indicate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the “degree approach” to analysis of sentences like (1) is </w:t>
      </w:r>
      <w:r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rather </w:t>
      </w:r>
      <w:r>
        <w:rPr>
          <w:rStyle w:val="alt-edited"/>
          <w:rFonts w:ascii="Times New Roman" w:hAnsi="Times New Roman" w:cs="Times New Roman"/>
          <w:sz w:val="24"/>
          <w:szCs w:val="24"/>
          <w:lang w:val="en-US"/>
        </w:rPr>
        <w:t>questionable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At the same time, the very idea </w:t>
      </w:r>
      <w:r>
        <w:rPr>
          <w:rStyle w:val="alt-edited"/>
          <w:rFonts w:ascii="Times New Roman" w:hAnsi="Times New Roman" w:cs="Times New Roman"/>
          <w:sz w:val="24"/>
          <w:szCs w:val="24"/>
          <w:lang w:val="en-US"/>
        </w:rPr>
        <w:t>of disambi</w:t>
      </w:r>
      <w:r>
        <w:rPr>
          <w:rStyle w:val="alt-edited"/>
          <w:rFonts w:ascii="Times New Roman" w:hAnsi="Times New Roman" w:cs="Times New Roman"/>
          <w:sz w:val="24"/>
          <w:szCs w:val="24"/>
          <w:lang w:val="en-US"/>
        </w:rPr>
        <w:t xml:space="preserve">guating such sentences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terms of </w:t>
      </w:r>
      <w:r>
        <w:rPr>
          <w:rStyle w:val="alt-edited"/>
          <w:rFonts w:ascii="Times New Roman" w:hAnsi="Times New Roman" w:cs="Times New Roman"/>
          <w:sz w:val="24"/>
          <w:szCs w:val="24"/>
          <w:lang w:val="en-US"/>
        </w:rPr>
        <w:t>scope seems to be efficient.</w:t>
      </w:r>
    </w:p>
    <w:p w:rsidR="00AE2222" w:rsidRPr="0074552B" w:rsidRDefault="00D42326">
      <w:pPr>
        <w:pStyle w:val="a0"/>
        <w:spacing w:before="120" w:after="0"/>
        <w:ind w:firstLine="425"/>
        <w:jc w:val="both"/>
        <w:rPr>
          <w:lang w:val="en-US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>Kripke's</w:t>
      </w:r>
      <w:r>
        <w:rPr>
          <w:rStyle w:val="st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Style w:val="st"/>
          <w:rFonts w:ascii="Times New Roman" w:hAnsi="Times New Roman" w:cs="Times New Roman"/>
          <w:sz w:val="24"/>
          <w:szCs w:val="24"/>
          <w:lang w:val="en-US"/>
        </w:rPr>
        <w:t>possible worlds</w:t>
      </w:r>
      <w:r>
        <w:rPr>
          <w:rStyle w:val="st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 xml:space="preserve">semantics (PWS) for standard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quantiﬁed modal logic (QML)</w:t>
      </w:r>
      <w:r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>
        <w:rPr>
          <w:rStyle w:val="alt-edited"/>
          <w:rFonts w:ascii="Times New Roman" w:hAnsi="Times New Roman" w:cs="Times New Roman"/>
          <w:sz w:val="24"/>
          <w:szCs w:val="24"/>
          <w:lang w:val="en-US"/>
        </w:rPr>
        <w:t xml:space="preserve">implements the idea of </w:t>
      </w:r>
      <w:r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 xml:space="preserve">scope very carefully. The quantifier scope (wide in (2’) and narrow in (3’)) determines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domain of quantification, which changes from world to world, and contains only the objects that actually exist in a given world. However,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QML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fails to capture some </w:t>
      </w:r>
      <w:r>
        <w:rPr>
          <w:rFonts w:ascii="Times New Roman" w:hAnsi="Times New Roman" w:cs="Times New Roman"/>
          <w:sz w:val="24"/>
          <w:szCs w:val="24"/>
          <w:lang w:val="en-US"/>
        </w:rPr>
        <w:t>patterns of expression typical in many natural languages. Consider the following example:</w:t>
      </w:r>
    </w:p>
    <w:p w:rsidR="00AE2222" w:rsidRPr="0074552B" w:rsidRDefault="00D42326">
      <w:pPr>
        <w:pStyle w:val="a0"/>
        <w:spacing w:before="120" w:after="0"/>
        <w:ind w:left="426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(4) Some people could have been richer than they really are</w:t>
      </w:r>
    </w:p>
    <w:p w:rsidR="00AE2222" w:rsidRPr="0074552B" w:rsidRDefault="00D42326">
      <w:pPr>
        <w:pStyle w:val="a0"/>
        <w:spacing w:before="120" w:after="0"/>
        <w:ind w:firstLine="425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Let R stand for “richer than”. How would one formalize (4)? </w:t>
      </w:r>
      <w:r>
        <w:rPr>
          <w:rStyle w:val="shorttext"/>
          <w:rFonts w:ascii="Times New Roman" w:hAnsi="Times New Roman" w:cs="Times New Roman"/>
          <w:sz w:val="24"/>
          <w:szCs w:val="24"/>
          <w:lang w:val="en-US"/>
        </w:rPr>
        <w:t>On the one hand,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moment’s reﬂection shows that </w:t>
      </w:r>
    </w:p>
    <w:p w:rsidR="00AE2222" w:rsidRPr="0074552B" w:rsidRDefault="00D42326">
      <w:pPr>
        <w:pStyle w:val="a0"/>
        <w:spacing w:before="120" w:after="0"/>
        <w:ind w:firstLine="425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(4’) </w:t>
      </w:r>
      <w:r>
        <w:rPr>
          <w:rFonts w:ascii="Symbol" w:hAnsi="Symbol" w:cs="Times New Roman"/>
          <w:sz w:val="24"/>
          <w:szCs w:val="24"/>
          <w:lang w:val="en-US"/>
        </w:rPr>
        <w:t>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Symbol" w:hAnsi="Symbol" w:cs="Times New Roman"/>
          <w:sz w:val="24"/>
          <w:szCs w:val="24"/>
          <w:lang w:val="en-US"/>
        </w:rPr>
        <w:t></w:t>
      </w:r>
      <w:r>
        <w:rPr>
          <w:rFonts w:ascii="Times New Roman" w:hAnsi="Times New Roman" w:cs="Times New Roman"/>
          <w:sz w:val="24"/>
          <w:szCs w:val="24"/>
          <w:lang w:val="en-US"/>
        </w:rPr>
        <w:t>R(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E2222" w:rsidRPr="0074552B" w:rsidRDefault="00D42326">
      <w:pPr>
        <w:pStyle w:val="a0"/>
        <w:spacing w:before="120" w:after="0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doesn’t work. This says that for someone there is a possible world where she is richer than herself (in that world). </w:t>
      </w:r>
      <w:r>
        <w:rPr>
          <w:rStyle w:val="shorttext"/>
          <w:rFonts w:ascii="Times New Roman" w:hAnsi="Times New Roman" w:cs="Times New Roman"/>
          <w:sz w:val="24"/>
          <w:szCs w:val="24"/>
          <w:lang w:val="en-US"/>
        </w:rPr>
        <w:t>On the other hand,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 doesn’t take much to see that </w:t>
      </w:r>
    </w:p>
    <w:p w:rsidR="00AE2222" w:rsidRPr="0074552B" w:rsidRDefault="00D42326">
      <w:pPr>
        <w:pStyle w:val="a0"/>
        <w:spacing w:before="120" w:after="0"/>
        <w:ind w:firstLine="425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(4’’) </w:t>
      </w:r>
      <w:r>
        <w:rPr>
          <w:rFonts w:ascii="Symbol" w:hAnsi="Symbol" w:cs="Times New Roman"/>
          <w:sz w:val="24"/>
          <w:szCs w:val="24"/>
          <w:lang w:val="en-US"/>
        </w:rPr>
        <w:t></w:t>
      </w:r>
      <w:r>
        <w:rPr>
          <w:rFonts w:ascii="Symbol" w:hAnsi="Symbol" w:cs="Times New Roman"/>
          <w:sz w:val="24"/>
          <w:szCs w:val="24"/>
          <w:lang w:val="en-US"/>
        </w:rPr>
        <w:t>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lang w:val="en-US"/>
        </w:rPr>
        <w:t>R(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E2222" w:rsidRPr="0074552B" w:rsidRDefault="00D42326">
      <w:pPr>
        <w:pStyle w:val="a0"/>
        <w:spacing w:before="120" w:after="0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also incorrect</w:t>
      </w:r>
      <w:r>
        <w:rPr>
          <w:rFonts w:ascii="Times New Roman" w:hAnsi="Times New Roman" w:cs="Times New Roman"/>
          <w:sz w:val="24"/>
          <w:szCs w:val="24"/>
          <w:lang w:val="en-US"/>
        </w:rPr>
        <w:t>, because this says that in some possible world, someone (in that world) is richer than herself (in that world).</w:t>
      </w:r>
    </w:p>
    <w:p w:rsidR="00AE2222" w:rsidRPr="0074552B" w:rsidRDefault="00D42326">
      <w:pPr>
        <w:pStyle w:val="a0"/>
        <w:spacing w:before="120" w:after="0"/>
        <w:ind w:firstLine="42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most </w:t>
      </w:r>
      <w:r>
        <w:rPr>
          <w:rStyle w:val="shorttext"/>
          <w:rFonts w:ascii="Times New Roman" w:hAnsi="Times New Roman" w:cs="Times New Roman"/>
          <w:sz w:val="24"/>
          <w:szCs w:val="24"/>
          <w:lang w:val="en-US"/>
        </w:rPr>
        <w:t>important feature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(4) is that it makes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cross-world comparisons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This sentence relates objects in one world to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 same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objects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another world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hus, QML fails to formalize some simple examples of cross-world predication. </w:t>
      </w:r>
      <w:r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This is not just a syntax problem, because the </w:t>
      </w:r>
      <w:r>
        <w:rPr>
          <w:rFonts w:ascii="Times New Roman" w:hAnsi="Times New Roman" w:cs="Times New Roman"/>
          <w:sz w:val="24"/>
          <w:szCs w:val="24"/>
          <w:lang w:val="en-US"/>
        </w:rPr>
        <w:t>core idea of PWS is largely the idea that all cross-world relations between individuals must be logically reducible to intra-world p</w:t>
      </w:r>
      <w:r>
        <w:rPr>
          <w:rFonts w:ascii="Times New Roman" w:hAnsi="Times New Roman" w:cs="Times New Roman"/>
          <w:sz w:val="24"/>
          <w:szCs w:val="24"/>
          <w:lang w:val="en-US"/>
        </w:rPr>
        <w:t>roperties and relations</w:t>
      </w:r>
      <w:r w:rsidR="007455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6FEA" w:rsidRPr="008A6223" w:rsidRDefault="00D42326" w:rsidP="00026FEA">
      <w:pPr>
        <w:pStyle w:val="a0"/>
        <w:spacing w:before="120" w:after="0"/>
        <w:ind w:firstLine="425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Wehmeier [Wehmeier, 2012] proposes a deliberated approach, based on subjunctive modal logic (SML). Instead of inventing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new operators, </w:t>
      </w:r>
      <w:r>
        <w:rPr>
          <w:rFonts w:ascii="Times New Roman" w:hAnsi="Times New Roman" w:cs="Times New Roman"/>
          <w:sz w:val="24"/>
          <w:szCs w:val="24"/>
          <w:lang w:val="en-US"/>
        </w:rPr>
        <w:t>Wehmeier starts with distinguishing grammatical moods in the syntax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“indicative”,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“subjunctive”). The mood markers applied to predicates indicate the worlds relative to which we calculate their extensions. For instance, R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i,s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should be interpre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ted as a relation between an object in the actual world and (perhaps the same) object in counterfactual world. </w:t>
      </w:r>
      <w:r w:rsidR="00026FEA">
        <w:rPr>
          <w:rFonts w:ascii="Times New Roman" w:hAnsi="Times New Roman" w:cs="Times New Roman"/>
          <w:sz w:val="24"/>
          <w:szCs w:val="24"/>
          <w:lang w:val="en-US"/>
        </w:rPr>
        <w:t>For instance, the formalization for the sentence</w:t>
      </w:r>
    </w:p>
    <w:p w:rsidR="00026FEA" w:rsidRPr="008A6223" w:rsidRDefault="00026FEA" w:rsidP="00026FEA">
      <w:pPr>
        <w:pStyle w:val="a0"/>
        <w:spacing w:before="120" w:after="0"/>
        <w:ind w:firstLine="425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(6) John could be richer than Mary is </w:t>
      </w:r>
    </w:p>
    <w:p w:rsidR="00AE2222" w:rsidRPr="0074552B" w:rsidRDefault="00026FEA" w:rsidP="00026FEA">
      <w:pPr>
        <w:pStyle w:val="a0"/>
        <w:spacing w:before="120" w:after="0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should be</w:t>
      </w:r>
      <w:r w:rsidR="00D42326">
        <w:rPr>
          <w:rFonts w:ascii="Times New Roman" w:hAnsi="Times New Roman" w:cs="Times New Roman"/>
          <w:sz w:val="24"/>
          <w:szCs w:val="24"/>
          <w:lang w:val="en-US"/>
        </w:rPr>
        <w:t xml:space="preserve"> the formula</w:t>
      </w:r>
    </w:p>
    <w:p w:rsidR="00AE2222" w:rsidRPr="0074552B" w:rsidRDefault="00026FEA">
      <w:pPr>
        <w:pStyle w:val="a0"/>
        <w:spacing w:before="120" w:after="0"/>
        <w:ind w:firstLine="425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(6’</w:t>
      </w:r>
      <w:r w:rsidR="00D4232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42326">
        <w:rPr>
          <w:rFonts w:ascii="Symbol" w:hAnsi="Symbol" w:cs="Times New Roman"/>
          <w:sz w:val="24"/>
          <w:szCs w:val="24"/>
          <w:lang w:val="en-US"/>
        </w:rPr>
        <w:t></w:t>
      </w:r>
      <w:r w:rsidR="00D4232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42326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s,i</w:t>
      </w:r>
      <w:r w:rsidR="00D4232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42326">
        <w:rPr>
          <w:rFonts w:ascii="Times New Roman" w:hAnsi="Times New Roman" w:cs="Times New Roman"/>
          <w:i/>
          <w:sz w:val="24"/>
          <w:szCs w:val="24"/>
          <w:lang w:val="en-US"/>
        </w:rPr>
        <w:t>j,m</w:t>
      </w:r>
      <w:r w:rsidR="00D42326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2222" w:rsidRPr="0074552B" w:rsidRDefault="00026FEA">
      <w:pPr>
        <w:pStyle w:val="a0"/>
        <w:spacing w:before="120" w:after="0"/>
        <w:ind w:firstLine="425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approach</w:t>
      </w:r>
      <w:r w:rsidR="00D423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2326">
        <w:rPr>
          <w:rFonts w:ascii="Times New Roman" w:hAnsi="Times New Roman" w:cs="Times New Roman"/>
          <w:sz w:val="24"/>
          <w:szCs w:val="24"/>
          <w:lang w:val="en-US"/>
        </w:rPr>
        <w:t>focus</w:t>
      </w:r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D42326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D42326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one type of intensional contexts, involving alethic modalities. </w:t>
      </w:r>
      <w:r w:rsidR="00D42326">
        <w:rPr>
          <w:rFonts w:ascii="Times New Roman" w:hAnsi="Times New Roman" w:cs="Times New Roman"/>
          <w:sz w:val="24"/>
          <w:szCs w:val="24"/>
          <w:lang w:val="en-US"/>
        </w:rPr>
        <w:t xml:space="preserve">Alethic modal operators are </w:t>
      </w:r>
      <w:r w:rsidR="00D42326">
        <w:rPr>
          <w:rStyle w:val="shorttext"/>
          <w:rFonts w:ascii="Times New Roman" w:hAnsi="Times New Roman" w:cs="Times New Roman"/>
          <w:sz w:val="24"/>
          <w:szCs w:val="24"/>
          <w:lang w:val="en-US"/>
        </w:rPr>
        <w:t>generally considered as</w:t>
      </w:r>
      <w:r w:rsidR="00D42326">
        <w:rPr>
          <w:rStyle w:val="shorttext"/>
          <w:lang w:val="en-US"/>
        </w:rPr>
        <w:t xml:space="preserve"> </w:t>
      </w:r>
      <w:r w:rsidR="00D42326">
        <w:rPr>
          <w:rFonts w:ascii="Times New Roman" w:hAnsi="Times New Roman" w:cs="Times New Roman"/>
          <w:sz w:val="24"/>
          <w:szCs w:val="24"/>
          <w:lang w:val="en-US"/>
        </w:rPr>
        <w:t>indicating metaphysical possibility in terms of possible worlds. However, in R</w:t>
      </w:r>
      <w:r w:rsidR="00D42326">
        <w:rPr>
          <w:rFonts w:ascii="Times New Roman" w:hAnsi="Times New Roman" w:cs="Times New Roman"/>
          <w:sz w:val="24"/>
          <w:szCs w:val="24"/>
          <w:lang w:val="en-US"/>
        </w:rPr>
        <w:t>ussell’s joke about yachts we have an example of epistemic (doxastic) modality, which reflects states of belief in terms of possible worlds. Although metaphysical and epistemic modalities have a lot formal features in common, they substantially differ in s</w:t>
      </w:r>
      <w:r w:rsidR="00D42326">
        <w:rPr>
          <w:rFonts w:ascii="Times New Roman" w:hAnsi="Times New Roman" w:cs="Times New Roman"/>
          <w:sz w:val="24"/>
          <w:szCs w:val="24"/>
          <w:lang w:val="en-US"/>
        </w:rPr>
        <w:t xml:space="preserve">ome philosophical aspects. </w:t>
      </w:r>
    </w:p>
    <w:p w:rsidR="00AE2222" w:rsidRPr="0074552B" w:rsidRDefault="00D42326">
      <w:pPr>
        <w:pStyle w:val="a0"/>
        <w:spacing w:before="120" w:after="0"/>
        <w:ind w:firstLine="425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Style w:val="shorttext"/>
          <w:rFonts w:ascii="Times New Roman" w:hAnsi="Times New Roman" w:cs="Times New Roman"/>
          <w:sz w:val="24"/>
          <w:szCs w:val="24"/>
          <w:lang w:val="en-US"/>
        </w:rPr>
        <w:t>main difference concerns the interpretation of the very notion of possible world. A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etaphysically possible world is “a way </w:t>
      </w:r>
      <w:r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the world might have been”, whereas an </w:t>
      </w:r>
      <w:r>
        <w:rPr>
          <w:rFonts w:ascii="Times New Roman" w:hAnsi="Times New Roman" w:cs="Times New Roman"/>
          <w:sz w:val="24"/>
          <w:szCs w:val="24"/>
          <w:lang w:val="en-US"/>
        </w:rPr>
        <w:t>epistemically possible world (scenario) is rather “</w:t>
      </w:r>
      <w:r>
        <w:rPr>
          <w:rFonts w:ascii="Times New Roman" w:hAnsi="Times New Roman"/>
          <w:sz w:val="24"/>
          <w:szCs w:val="24"/>
          <w:lang w:val="en-US"/>
        </w:rPr>
        <w:t>a complete</w:t>
      </w:r>
      <w:r>
        <w:rPr>
          <w:rFonts w:ascii="Times New Roman" w:hAnsi="Times New Roman"/>
          <w:sz w:val="24"/>
          <w:szCs w:val="24"/>
          <w:lang w:val="en-US"/>
        </w:rPr>
        <w:t xml:space="preserve"> description of what the world might be like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>together with the speaker’s location within that world</w:t>
      </w:r>
      <w:r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”. Sometimes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epistemically possible world are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understood as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centered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worlds</w:t>
      </w:r>
      <w:r>
        <w:rPr>
          <w:rStyle w:val="ad"/>
          <w:rFonts w:ascii="Times New Roman" w:eastAsia="Times New Roman" w:hAnsi="Times New Roman" w:cs="Times New Roman"/>
          <w:sz w:val="24"/>
          <w:szCs w:val="24"/>
          <w:lang w:val="en-US" w:eastAsia="ru-R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E2222" w:rsidRPr="0074552B" w:rsidRDefault="00D42326">
      <w:pPr>
        <w:pStyle w:val="a0"/>
        <w:spacing w:before="120" w:after="0"/>
        <w:ind w:firstLine="340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epistemic version of two-dimensionalism, developed by David Chalmers [Chalm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ers, 2004],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can be used to isolate an aspect of meaning that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meets our philosophical intuitions about the epistemic necessity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and to show</w:t>
      </w:r>
      <w:r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its</w:t>
      </w:r>
      <w:r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priority to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metaphysical one.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this framework, the truth values of statements are relativized to possible worlds in two different ways: they depend both on what the </w:t>
      </w:r>
      <w:r>
        <w:rPr>
          <w:rFonts w:ascii="Times New Roman" w:hAnsi="Times New Roman" w:cs="Times New Roman"/>
          <w:sz w:val="24"/>
          <w:szCs w:val="24"/>
          <w:lang w:val="en-US"/>
        </w:rPr>
        <w:t>facts in a “world of evaluation” are and on what the sentences mean in (a perhaps the same) “world of reference”. The key idea is that possible worlds can play two distinct roles: they serve as contexts of use (W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worlds considered as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actual</w:t>
      </w:r>
      <w:r>
        <w:rPr>
          <w:rFonts w:ascii="Times New Roman" w:hAnsi="Times New Roman" w:cs="Times New Roman"/>
          <w:sz w:val="24"/>
          <w:szCs w:val="24"/>
          <w:lang w:val="en-US"/>
        </w:rPr>
        <w:t>), and as circ</w:t>
      </w:r>
      <w:r>
        <w:rPr>
          <w:rFonts w:ascii="Times New Roman" w:hAnsi="Times New Roman" w:cs="Times New Roman"/>
          <w:sz w:val="24"/>
          <w:szCs w:val="24"/>
          <w:lang w:val="en-US"/>
        </w:rPr>
        <w:t>umstances of evaluation (W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worlds considered as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counterfactual</w:t>
      </w:r>
      <w:r>
        <w:rPr>
          <w:rFonts w:ascii="Times New Roman" w:hAnsi="Times New Roman" w:cs="Times New Roman"/>
          <w:sz w:val="24"/>
          <w:szCs w:val="24"/>
          <w:lang w:val="en-US"/>
        </w:rPr>
        <w:t>). In this framework every expression has at least two intensions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(1) its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primary intension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 function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: W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→ E from actual worlds to extensions; (2) its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secondary intension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 function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: W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→ E from counterfactuals worlds to extensions. </w:t>
      </w:r>
    </w:p>
    <w:p w:rsidR="00AE2222" w:rsidRPr="0074552B" w:rsidRDefault="00D42326">
      <w:pPr>
        <w:pStyle w:val="a0"/>
        <w:spacing w:before="120"/>
        <w:ind w:firstLine="340"/>
        <w:jc w:val="both"/>
        <w:rPr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>addition to this general semantic framework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Chalmers proposes a special account of modal epistemology, widely known as modal rationalism (MR). This account establishes a secure link between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a prior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conceivability and metaphysical possibility: </w:t>
      </w:r>
    </w:p>
    <w:p w:rsidR="00AE2222" w:rsidRPr="0074552B" w:rsidRDefault="00D42326">
      <w:pPr>
        <w:pStyle w:val="a0"/>
        <w:spacing w:before="120" w:after="0"/>
        <w:ind w:left="426"/>
        <w:jc w:val="both"/>
        <w:rPr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(MR) Every epistemically possible scenario – a complete description of what the world might be like together with the speaker’s location within that world – describes a genuine metaphysically possible (center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ed) world.</w:t>
      </w:r>
    </w:p>
    <w:p w:rsidR="00AE2222" w:rsidRPr="0074552B" w:rsidRDefault="00D42326">
      <w:pPr>
        <w:pStyle w:val="a0"/>
        <w:spacing w:before="120" w:after="0"/>
        <w:ind w:firstLine="425"/>
        <w:jc w:val="both"/>
        <w:rPr>
          <w:lang w:val="en-US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>Given this assumption</w:t>
      </w:r>
      <w:r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, two-dimensionalism </w:t>
      </w:r>
      <w:r>
        <w:rPr>
          <w:rStyle w:val="alt-edited"/>
          <w:rFonts w:ascii="Times New Roman" w:hAnsi="Times New Roman" w:cs="Times New Roman"/>
          <w:sz w:val="24"/>
          <w:szCs w:val="24"/>
          <w:lang w:val="en-US"/>
        </w:rPr>
        <w:t xml:space="preserve">becomes a </w:t>
      </w:r>
      <w:r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fruitful approach to the analysis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Russell's joke. Taking primary intension as epistemic intension one could explain the ambiguity of (1)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terms of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centered worlds. What is required for a term to have an epistemic intension for a speaker is for that speaker to have the ability to identify extensions for a term given various hypotheses about the actual world. Therefore, the yachtsman’s mistake is not 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 evaluation of his guest’s sentence in a wrong world, but setting a wrong center in the right world. It is rather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primary intension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“the yacht” that </w:t>
      </w:r>
      <w:r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creates a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problem, not the secondary one. </w:t>
      </w:r>
      <w:r>
        <w:rPr>
          <w:rStyle w:val="alt-edited"/>
          <w:rFonts w:ascii="Times New Roman" w:hAnsi="Times New Roman" w:cs="Times New Roman"/>
          <w:sz w:val="24"/>
          <w:szCs w:val="24"/>
          <w:lang w:val="en-US"/>
        </w:rPr>
        <w:t>Let us consider</w:t>
      </w:r>
    </w:p>
    <w:p w:rsidR="00AE2222" w:rsidRPr="0074552B" w:rsidRDefault="00D42326">
      <w:pPr>
        <w:pStyle w:val="a0"/>
        <w:spacing w:before="120" w:after="0"/>
        <w:ind w:firstLine="425"/>
        <w:jc w:val="both"/>
        <w:rPr>
          <w:lang w:val="en-US"/>
        </w:rPr>
      </w:pPr>
      <w:r>
        <w:rPr>
          <w:rStyle w:val="alt-edited"/>
          <w:rFonts w:ascii="Times New Roman" w:hAnsi="Times New Roman" w:cs="Times New Roman"/>
          <w:sz w:val="24"/>
          <w:szCs w:val="24"/>
          <w:lang w:val="en-US"/>
        </w:rPr>
        <w:t xml:space="preserve">(2’’) </w:t>
      </w:r>
      <w:r>
        <w:rPr>
          <w:rFonts w:ascii="Symbol" w:hAnsi="Symbol" w:cs="Times New Roman"/>
          <w:sz w:val="24"/>
          <w:szCs w:val="24"/>
          <w:lang w:val="en-US"/>
        </w:rPr>
        <w:t>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(B(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&amp;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&gt;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E2222" w:rsidRPr="0074552B" w:rsidRDefault="00D42326">
      <w:pPr>
        <w:pStyle w:val="a0"/>
        <w:spacing w:before="120" w:after="0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 a formalization of (2). This says that there is an object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domain of a possible world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accessible to the actual world @,such that in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 is true that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(in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equals to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(in @), whereas in @ it is true that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(in @) is larger than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(in @).</w:t>
      </w:r>
    </w:p>
    <w:p w:rsidR="00AE2222" w:rsidRPr="0074552B" w:rsidRDefault="00D42326">
      <w:pPr>
        <w:pStyle w:val="a0"/>
        <w:spacing w:before="120" w:after="0"/>
        <w:ind w:firstLine="42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argue that (2’’) formalizes (2) more accurately than (2’) does, because (2’’) takes into account the cross-world nature of “=” within the clause expressing belief of the guest. </w:t>
      </w:r>
      <w:r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Besides, it is not committed to degrees. </w:t>
      </w:r>
    </w:p>
    <w:p w:rsidR="00AE2222" w:rsidRPr="0074552B" w:rsidRDefault="00D42326">
      <w:pPr>
        <w:pStyle w:val="a0"/>
        <w:spacing w:before="120" w:after="0"/>
        <w:ind w:firstLine="426"/>
        <w:jc w:val="both"/>
        <w:rPr>
          <w:lang w:val="en-US"/>
        </w:rPr>
      </w:pPr>
      <w:r>
        <w:rPr>
          <w:rStyle w:val="shorttext"/>
          <w:rFonts w:ascii="Times New Roman" w:hAnsi="Times New Roman" w:cs="Times New Roman"/>
          <w:sz w:val="24"/>
          <w:szCs w:val="24"/>
          <w:lang w:val="en-US"/>
        </w:rPr>
        <w:t>At the same time, it is worth noting</w:t>
      </w:r>
      <w:r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that the difference between identity (=) and counteridentity (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r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) is not clear within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Wehmeier’s framework. One could think that these two relations are basically of one kind, both stating the metaphysical </w:t>
      </w:r>
      <w:r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identity of secondary (i.e. standard) intensions. In my opinion, the picture is more complicated. The point is that sentence </w:t>
      </w:r>
      <w:r>
        <w:rPr>
          <w:rStyle w:val="shorttext"/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state the identity of different intensions, namely the primary intension of </w:t>
      </w:r>
      <w:r>
        <w:rPr>
          <w:rStyle w:val="shorttext"/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in &lt;</w:t>
      </w:r>
      <w:r>
        <w:rPr>
          <w:rStyle w:val="shorttext"/>
          <w:rFonts w:ascii="Times New Roman" w:hAnsi="Times New Roman" w:cs="Times New Roman"/>
          <w:i/>
          <w:sz w:val="24"/>
          <w:szCs w:val="24"/>
          <w:lang w:val="en-US"/>
        </w:rPr>
        <w:t>w,g,t</w:t>
      </w:r>
      <w:r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&gt; (centered world </w:t>
      </w:r>
      <w:r>
        <w:rPr>
          <w:rStyle w:val="shorttext"/>
          <w:rFonts w:ascii="Times New Roman" w:hAnsi="Times New Roman" w:cs="Times New Roman"/>
          <w:i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a designated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agent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“guest” </w:t>
      </w:r>
      <w:r>
        <w:rPr>
          <w:rFonts w:ascii="Times New Roman" w:hAnsi="Times New Roman" w:cs="Times New Roman"/>
          <w:sz w:val="24"/>
          <w:szCs w:val="24"/>
          <w:lang w:val="en-US"/>
        </w:rPr>
        <w:t>and time</w:t>
      </w:r>
      <w:r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shorttext"/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of his belief) and the secondary intension of </w:t>
      </w:r>
      <w:r>
        <w:rPr>
          <w:rStyle w:val="shorttext"/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@. It </w:t>
      </w:r>
      <w:r>
        <w:rPr>
          <w:rStyle w:val="alt-edited"/>
          <w:rFonts w:ascii="Times New Roman" w:hAnsi="Times New Roman" w:cs="Times New Roman"/>
          <w:sz w:val="24"/>
          <w:szCs w:val="24"/>
          <w:lang w:val="en-US"/>
        </w:rPr>
        <w:t>should be clear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that metaphysical </w:t>
      </w:r>
      <w:r>
        <w:rPr>
          <w:rStyle w:val="shorttext"/>
          <w:rFonts w:ascii="Times New Roman" w:hAnsi="Times New Roman" w:cs="Times New Roman"/>
          <w:sz w:val="24"/>
          <w:szCs w:val="24"/>
          <w:lang w:val="en-US"/>
        </w:rPr>
        <w:t>identity (=) is public, whereas counteridentity (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r>
        <w:rPr>
          <w:rStyle w:val="shorttext"/>
          <w:rFonts w:ascii="Times New Roman" w:hAnsi="Times New Roman" w:cs="Times New Roman"/>
          <w:sz w:val="24"/>
          <w:szCs w:val="24"/>
          <w:lang w:val="en-US"/>
        </w:rPr>
        <w:t>) is perspectival, determined by a specific agent’s point of view inside the world.</w:t>
      </w:r>
    </w:p>
    <w:p w:rsidR="00AE2222" w:rsidRPr="0074552B" w:rsidRDefault="00D42326">
      <w:pPr>
        <w:pStyle w:val="a0"/>
        <w:spacing w:before="120" w:after="0"/>
        <w:ind w:firstLine="426"/>
        <w:jc w:val="both"/>
        <w:rPr>
          <w:lang w:val="en-US"/>
        </w:rPr>
      </w:pPr>
      <w:r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To sum up,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CSML is a better analytical tool than QML, especially for the cases like a famous joke about yachts. However, the extended Kripke-style possible world semantics for CSML that has been developed by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Wehmeier leaves some key epistemic f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eatures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Russell’s joke unattended. I argue that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epistemic two-dimensionalism is </w:t>
      </w:r>
      <w:r>
        <w:rPr>
          <w:rStyle w:val="alt-edited"/>
          <w:rFonts w:ascii="Times New Roman" w:hAnsi="Times New Roman" w:cs="Times New Roman"/>
          <w:sz w:val="24"/>
          <w:szCs w:val="24"/>
          <w:lang w:val="en-US"/>
        </w:rPr>
        <w:t xml:space="preserve">philosophically more relevant here than </w:t>
      </w:r>
      <w:r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subjunctive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markers </w:t>
      </w:r>
      <w:r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 xml:space="preserve">approach, because the centered worlds framework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can be applied both to linguistic expressions and to thought </w:t>
      </w:r>
      <w:r>
        <w:rPr>
          <w:rFonts w:ascii="Times New Roman" w:hAnsi="Times New Roman" w:cs="Times New Roman"/>
          <w:sz w:val="24"/>
          <w:szCs w:val="24"/>
          <w:lang w:val="en-US"/>
        </w:rPr>
        <w:t>contents. That is why I hope that the 2D-ineterpretation of jokes about belief attributions doesn’t let them fall flat.</w:t>
      </w:r>
    </w:p>
    <w:p w:rsidR="00AE2222" w:rsidRPr="0074552B" w:rsidRDefault="00AE2222">
      <w:pPr>
        <w:pStyle w:val="a0"/>
        <w:spacing w:before="120" w:after="0"/>
        <w:jc w:val="both"/>
        <w:rPr>
          <w:lang w:val="en-US"/>
        </w:rPr>
      </w:pPr>
    </w:p>
    <w:p w:rsidR="00AE2222" w:rsidRDefault="00D42326">
      <w:pPr>
        <w:pStyle w:val="a0"/>
        <w:spacing w:before="120" w:after="0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AE2222" w:rsidRDefault="00AE2222">
      <w:pPr>
        <w:pStyle w:val="a0"/>
        <w:spacing w:before="120" w:after="0"/>
      </w:pPr>
    </w:p>
    <w:p w:rsidR="00AE2222" w:rsidRPr="0074552B" w:rsidRDefault="00D42326">
      <w:pPr>
        <w:pStyle w:val="af8"/>
        <w:numPr>
          <w:ilvl w:val="0"/>
          <w:numId w:val="2"/>
        </w:numPr>
        <w:spacing w:before="120" w:after="0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Borisov, EV 2013, On semantics of comparative predicates, Vestnik Tomskogo gosudarstvennogo universiteta. Filosofiya. Sotsi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ologiya. Politologiya – Tomsk State University Journal of Philosophy, Sociology and Political Science,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vol. </w:t>
      </w:r>
      <w:r>
        <w:rPr>
          <w:rFonts w:ascii="Times New Roman" w:hAnsi="Times New Roman" w:cs="Times New Roman"/>
          <w:sz w:val="24"/>
          <w:szCs w:val="24"/>
          <w:lang w:val="en-US"/>
        </w:rPr>
        <w:t>2 (22), pp. 219-225, (In Russian).</w:t>
      </w:r>
    </w:p>
    <w:p w:rsidR="00AE2222" w:rsidRPr="0074552B" w:rsidRDefault="00D42326">
      <w:pPr>
        <w:pStyle w:val="af8"/>
        <w:numPr>
          <w:ilvl w:val="0"/>
          <w:numId w:val="2"/>
        </w:numPr>
        <w:spacing w:before="120" w:after="0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Borisov, EV 2015, On semantics of comparative predicates II, Vestnik Tomskogo gosudarstvennogo universiteta. Filo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sofiya. Sotsiologiya. Politologiya – Tomsk State University Journal of Philosophy, Sociology and Political Science,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vol.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2(30), pp. 208-213, (In Russian).</w:t>
      </w:r>
    </w:p>
    <w:p w:rsidR="00AE2222" w:rsidRPr="00026FEA" w:rsidRDefault="00D42326">
      <w:pPr>
        <w:pStyle w:val="af8"/>
        <w:numPr>
          <w:ilvl w:val="0"/>
          <w:numId w:val="2"/>
        </w:numPr>
        <w:spacing w:before="120" w:after="0"/>
        <w:contextualSpacing w:val="0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Chalmers, D</w:t>
      </w:r>
      <w:r>
        <w:rPr>
          <w:rFonts w:ascii="Times New Roman" w:hAnsi="Times New Roman"/>
          <w:sz w:val="24"/>
          <w:szCs w:val="24"/>
          <w:lang w:val="en-US"/>
        </w:rPr>
        <w:t>J 2006, The Foundations of Two-Dimensional Semantics // Garcia-Carpintero M., Macià J. Two-Dimensional Semantics. Oxford: Clarendon Press, pp. 55–140.</w:t>
      </w:r>
    </w:p>
    <w:p w:rsidR="00AE2222" w:rsidRPr="0074552B" w:rsidRDefault="00D42326">
      <w:pPr>
        <w:pStyle w:val="af8"/>
        <w:numPr>
          <w:ilvl w:val="0"/>
          <w:numId w:val="2"/>
        </w:numPr>
        <w:spacing w:before="120" w:after="0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Kripke, SA 2005, Russell’s notion of scope, Mind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Vol.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114,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>
        <w:rPr>
          <w:rFonts w:ascii="Times New Roman" w:hAnsi="Times New Roman" w:cs="Times New Roman"/>
          <w:sz w:val="24"/>
          <w:szCs w:val="24"/>
          <w:lang w:val="en-US"/>
        </w:rPr>
        <w:t>1005–1037.</w:t>
      </w:r>
    </w:p>
    <w:p w:rsidR="00AE2222" w:rsidRPr="0074552B" w:rsidRDefault="00D42326">
      <w:pPr>
        <w:pStyle w:val="af8"/>
        <w:numPr>
          <w:ilvl w:val="0"/>
          <w:numId w:val="2"/>
        </w:numPr>
        <w:spacing w:before="120" w:after="0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Russell, B 1905, On denoting, Mind,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vol.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14, </w:t>
      </w:r>
      <w:r>
        <w:rPr>
          <w:rFonts w:ascii="Times New Roman" w:hAnsi="Times New Roman"/>
          <w:sz w:val="24"/>
          <w:szCs w:val="24"/>
          <w:lang w:val="en-US"/>
        </w:rPr>
        <w:t xml:space="preserve">pp. </w:t>
      </w:r>
      <w:r>
        <w:rPr>
          <w:rFonts w:ascii="Times New Roman" w:hAnsi="Times New Roman" w:cs="Times New Roman"/>
          <w:sz w:val="24"/>
          <w:szCs w:val="24"/>
          <w:lang w:val="en-US"/>
        </w:rPr>
        <w:t>479–493.</w:t>
      </w:r>
    </w:p>
    <w:p w:rsidR="00AE2222" w:rsidRPr="0074552B" w:rsidRDefault="00D42326">
      <w:pPr>
        <w:pStyle w:val="af8"/>
        <w:numPr>
          <w:ilvl w:val="0"/>
          <w:numId w:val="2"/>
        </w:numPr>
        <w:spacing w:before="120" w:after="0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Surovtsev, VA 2013, The joke about size of yacht by B. Russell and some remarks on semantics of comparative predicates, Vestnik Tomskogo gosudarstvennogo universiteta. Filo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sofiya. Sotsiologiya. Politologiya – Tomsk State University Journal of Philosophy, Sociology and Political Science,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vol.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 (22), pp. 226-233, (In Russian).</w:t>
      </w:r>
    </w:p>
    <w:p w:rsidR="00AE2222" w:rsidRPr="0074552B" w:rsidRDefault="00D42326">
      <w:pPr>
        <w:pStyle w:val="af8"/>
        <w:numPr>
          <w:ilvl w:val="0"/>
          <w:numId w:val="2"/>
        </w:numPr>
        <w:spacing w:before="120" w:after="0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Wehmeier, KF 2012, Subjunctivity and cross-world predication, Philosophical Studies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vol. </w:t>
      </w:r>
      <w:r>
        <w:rPr>
          <w:rFonts w:ascii="Times New Roman" w:hAnsi="Times New Roman" w:cs="Times New Roman"/>
          <w:sz w:val="24"/>
          <w:szCs w:val="24"/>
          <w:lang w:val="en-US"/>
        </w:rPr>
        <w:t>159,</w:t>
      </w:r>
      <w:r>
        <w:rPr>
          <w:rFonts w:ascii="Times New Roman" w:hAnsi="Times New Roman"/>
          <w:sz w:val="24"/>
          <w:szCs w:val="24"/>
          <w:lang w:val="en-US"/>
        </w:rPr>
        <w:t xml:space="preserve"> pp.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7–122.</w:t>
      </w:r>
    </w:p>
    <w:p w:rsidR="00AE2222" w:rsidRPr="0074552B" w:rsidRDefault="00AE2222">
      <w:pPr>
        <w:pStyle w:val="a0"/>
        <w:spacing w:before="120" w:after="0"/>
        <w:rPr>
          <w:lang w:val="en-US"/>
        </w:rPr>
      </w:pPr>
    </w:p>
    <w:p w:rsidR="00AE2222" w:rsidRPr="0074552B" w:rsidRDefault="00D42326">
      <w:pPr>
        <w:pStyle w:val="a0"/>
        <w:spacing w:after="0"/>
        <w:jc w:val="both"/>
        <w:rPr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Victor V. Gorbatov</w:t>
      </w:r>
    </w:p>
    <w:p w:rsidR="00AE2222" w:rsidRPr="0074552B" w:rsidRDefault="00D42326">
      <w:pPr>
        <w:pStyle w:val="a0"/>
        <w:spacing w:after="0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National Research University Higher School of Economics. Faculty of Humanities, School of Philosophy, Senior Lecturer; </w:t>
      </w:r>
    </w:p>
    <w:p w:rsidR="00AE2222" w:rsidRPr="0074552B" w:rsidRDefault="00D42326">
      <w:pPr>
        <w:pStyle w:val="a0"/>
        <w:spacing w:after="0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 vgorbatov@hse.ru.</w:t>
      </w:r>
    </w:p>
    <w:sectPr w:rsidR="00AE2222" w:rsidRPr="0074552B" w:rsidSect="00AE2222">
      <w:footerReference w:type="default" r:id="rId7"/>
      <w:pgSz w:w="11906" w:h="16838"/>
      <w:pgMar w:top="1134" w:right="851" w:bottom="1134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326" w:rsidRDefault="00D42326" w:rsidP="00AE2222">
      <w:pPr>
        <w:spacing w:after="0" w:line="240" w:lineRule="auto"/>
      </w:pPr>
      <w:r>
        <w:separator/>
      </w:r>
    </w:p>
  </w:endnote>
  <w:endnote w:type="continuationSeparator" w:id="0">
    <w:p w:rsidR="00D42326" w:rsidRDefault="00D42326" w:rsidP="00AE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22" w:rsidRDefault="00AE2222">
    <w:pPr>
      <w:pStyle w:val="afc"/>
      <w:jc w:val="right"/>
    </w:pPr>
    <w:r>
      <w:fldChar w:fldCharType="begin"/>
    </w:r>
    <w:r w:rsidR="00D42326">
      <w:instrText>PAGE</w:instrText>
    </w:r>
    <w:r>
      <w:fldChar w:fldCharType="separate"/>
    </w:r>
    <w:r w:rsidR="00FB7D27">
      <w:rPr>
        <w:noProof/>
      </w:rPr>
      <w:t>1</w:t>
    </w:r>
    <w:r>
      <w:fldChar w:fldCharType="end"/>
    </w:r>
  </w:p>
  <w:p w:rsidR="00AE2222" w:rsidRDefault="00AE2222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326" w:rsidRDefault="00D42326">
      <w:r>
        <w:separator/>
      </w:r>
    </w:p>
  </w:footnote>
  <w:footnote w:type="continuationSeparator" w:id="0">
    <w:p w:rsidR="00D42326" w:rsidRDefault="00D42326">
      <w:r>
        <w:continuationSeparator/>
      </w:r>
    </w:p>
  </w:footnote>
  <w:footnote w:id="1">
    <w:p w:rsidR="00AE2222" w:rsidRPr="0074552B" w:rsidRDefault="00D42326">
      <w:pPr>
        <w:pStyle w:val="af5"/>
        <w:spacing w:before="120" w:after="0"/>
        <w:rPr>
          <w:lang w:val="en-US"/>
        </w:rPr>
      </w:pPr>
      <w:r>
        <w:rPr>
          <w:rStyle w:val="a9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 centered possible world is a metaphysically possible world with a designated agent and time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(given 2D assumptions about the plenitude of such worlds).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8BB"/>
    <w:multiLevelType w:val="multilevel"/>
    <w:tmpl w:val="1AD6E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60EF4"/>
    <w:multiLevelType w:val="multilevel"/>
    <w:tmpl w:val="9B1647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191E12"/>
    <w:multiLevelType w:val="multilevel"/>
    <w:tmpl w:val="B2CCF0C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2222"/>
    <w:rsid w:val="00026FEA"/>
    <w:rsid w:val="0074552B"/>
    <w:rsid w:val="00AE2222"/>
    <w:rsid w:val="00D42326"/>
    <w:rsid w:val="00FB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rsid w:val="00AE222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rsid w:val="00AE222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rsid w:val="00AE222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rsid w:val="00AE222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AE2222"/>
    <w:pPr>
      <w:suppressAutoHyphens/>
      <w:spacing w:after="240" w:line="360" w:lineRule="auto"/>
    </w:pPr>
    <w:rPr>
      <w:rFonts w:ascii="Calibri" w:eastAsia="SimSun" w:hAnsi="Calibri" w:cs="Calibri"/>
      <w:lang w:eastAsia="en-US"/>
    </w:rPr>
  </w:style>
  <w:style w:type="character" w:customStyle="1" w:styleId="10">
    <w:name w:val="Заголовок 1 Знак"/>
    <w:basedOn w:val="a1"/>
    <w:rsid w:val="00AE2222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Выделение жирным"/>
    <w:basedOn w:val="a1"/>
    <w:rsid w:val="00AE2222"/>
    <w:rPr>
      <w:b/>
      <w:bCs/>
    </w:rPr>
  </w:style>
  <w:style w:type="character" w:styleId="a5">
    <w:name w:val="Emphasis"/>
    <w:basedOn w:val="a1"/>
    <w:rsid w:val="00AE2222"/>
    <w:rPr>
      <w:i/>
      <w:iCs/>
    </w:rPr>
  </w:style>
  <w:style w:type="character" w:customStyle="1" w:styleId="20">
    <w:name w:val="Заголовок 2 Знак"/>
    <w:basedOn w:val="a1"/>
    <w:rsid w:val="00AE2222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rsid w:val="00AE2222"/>
    <w:rPr>
      <w:rFonts w:ascii="Cambria" w:hAnsi="Cambria"/>
      <w:b/>
      <w:bCs/>
      <w:color w:val="4F81BD"/>
    </w:rPr>
  </w:style>
  <w:style w:type="character" w:customStyle="1" w:styleId="40">
    <w:name w:val="Заголовок 4 Знак"/>
    <w:basedOn w:val="a1"/>
    <w:rsid w:val="00AE2222"/>
    <w:rPr>
      <w:rFonts w:ascii="Cambria" w:hAnsi="Cambria"/>
      <w:b/>
      <w:bCs/>
      <w:i/>
      <w:iCs/>
      <w:color w:val="4F81BD"/>
    </w:rPr>
  </w:style>
  <w:style w:type="character" w:customStyle="1" w:styleId="a6">
    <w:name w:val="Текст сноски Знак"/>
    <w:basedOn w:val="a1"/>
    <w:rsid w:val="00AE2222"/>
    <w:rPr>
      <w:rFonts w:eastAsia="Times New Roman" w:cs="Times New Roman"/>
      <w:lang w:val="ru-RU" w:eastAsia="ru-RU" w:bidi="ar-SA"/>
    </w:rPr>
  </w:style>
  <w:style w:type="character" w:customStyle="1" w:styleId="a7">
    <w:name w:val="Сноска Знак"/>
    <w:rsid w:val="00AE2222"/>
    <w:rPr>
      <w:lang w:eastAsia="en-US"/>
    </w:rPr>
  </w:style>
  <w:style w:type="character" w:customStyle="1" w:styleId="a8">
    <w:name w:val="Текст выноски Знак"/>
    <w:basedOn w:val="a1"/>
    <w:rsid w:val="00AE2222"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a1"/>
    <w:rsid w:val="00AE2222"/>
  </w:style>
  <w:style w:type="character" w:styleId="a9">
    <w:name w:val="footnote reference"/>
    <w:basedOn w:val="a1"/>
    <w:rsid w:val="00AE2222"/>
    <w:rPr>
      <w:vertAlign w:val="superscript"/>
    </w:rPr>
  </w:style>
  <w:style w:type="character" w:customStyle="1" w:styleId="-">
    <w:name w:val="Интернет-ссылка"/>
    <w:basedOn w:val="a1"/>
    <w:rsid w:val="00AE2222"/>
    <w:rPr>
      <w:color w:val="0000FF"/>
      <w:u w:val="single"/>
    </w:rPr>
  </w:style>
  <w:style w:type="character" w:customStyle="1" w:styleId="st">
    <w:name w:val="st"/>
    <w:basedOn w:val="a1"/>
    <w:rsid w:val="00AE2222"/>
  </w:style>
  <w:style w:type="character" w:customStyle="1" w:styleId="shorttext">
    <w:name w:val="short_text"/>
    <w:basedOn w:val="a1"/>
    <w:rsid w:val="00AE2222"/>
  </w:style>
  <w:style w:type="character" w:customStyle="1" w:styleId="gt-baf-word-clickable">
    <w:name w:val="gt-baf-word-clickable"/>
    <w:basedOn w:val="a1"/>
    <w:rsid w:val="00AE2222"/>
  </w:style>
  <w:style w:type="character" w:customStyle="1" w:styleId="hps">
    <w:name w:val="hps"/>
    <w:basedOn w:val="a1"/>
    <w:rsid w:val="00AE2222"/>
  </w:style>
  <w:style w:type="character" w:customStyle="1" w:styleId="aa">
    <w:name w:val="Верхний колонтитул Знак"/>
    <w:basedOn w:val="a1"/>
    <w:rsid w:val="00AE2222"/>
  </w:style>
  <w:style w:type="character" w:customStyle="1" w:styleId="ab">
    <w:name w:val="Нижний колонтитул Знак"/>
    <w:basedOn w:val="a1"/>
    <w:rsid w:val="00AE2222"/>
  </w:style>
  <w:style w:type="character" w:customStyle="1" w:styleId="ListLabel1">
    <w:name w:val="ListLabel 1"/>
    <w:rsid w:val="00AE2222"/>
    <w:rPr>
      <w:rFonts w:cs="Courier New"/>
    </w:rPr>
  </w:style>
  <w:style w:type="character" w:customStyle="1" w:styleId="ac">
    <w:name w:val="Символ сноски"/>
    <w:rsid w:val="00AE2222"/>
  </w:style>
  <w:style w:type="character" w:customStyle="1" w:styleId="ad">
    <w:name w:val="Привязка сноски"/>
    <w:rsid w:val="00AE2222"/>
    <w:rPr>
      <w:vertAlign w:val="superscript"/>
    </w:rPr>
  </w:style>
  <w:style w:type="character" w:customStyle="1" w:styleId="ae">
    <w:name w:val="Привязка концевой сноски"/>
    <w:rsid w:val="00AE2222"/>
    <w:rPr>
      <w:vertAlign w:val="superscript"/>
    </w:rPr>
  </w:style>
  <w:style w:type="character" w:customStyle="1" w:styleId="af">
    <w:name w:val="Символы концевой сноски"/>
    <w:rsid w:val="00AE2222"/>
  </w:style>
  <w:style w:type="paragraph" w:customStyle="1" w:styleId="af0">
    <w:name w:val="Заголовок"/>
    <w:basedOn w:val="a0"/>
    <w:next w:val="af1"/>
    <w:rsid w:val="00AE22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1">
    <w:name w:val="Body Text"/>
    <w:basedOn w:val="a0"/>
    <w:rsid w:val="00AE2222"/>
    <w:pPr>
      <w:spacing w:after="120"/>
    </w:pPr>
  </w:style>
  <w:style w:type="paragraph" w:styleId="af2">
    <w:name w:val="List"/>
    <w:basedOn w:val="af1"/>
    <w:rsid w:val="00AE2222"/>
    <w:rPr>
      <w:rFonts w:cs="Mangal"/>
    </w:rPr>
  </w:style>
  <w:style w:type="paragraph" w:styleId="af3">
    <w:name w:val="Title"/>
    <w:basedOn w:val="a0"/>
    <w:rsid w:val="00AE22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0"/>
    <w:rsid w:val="00AE2222"/>
    <w:pPr>
      <w:suppressLineNumbers/>
    </w:pPr>
    <w:rPr>
      <w:rFonts w:cs="Mangal"/>
    </w:rPr>
  </w:style>
  <w:style w:type="paragraph" w:styleId="af5">
    <w:name w:val="footnote text"/>
    <w:basedOn w:val="a0"/>
    <w:rsid w:val="00AE2222"/>
    <w:rPr>
      <w:sz w:val="20"/>
      <w:szCs w:val="20"/>
    </w:rPr>
  </w:style>
  <w:style w:type="paragraph" w:styleId="af6">
    <w:name w:val="caption"/>
    <w:basedOn w:val="a0"/>
    <w:rsid w:val="00AE2222"/>
    <w:pPr>
      <w:spacing w:line="100" w:lineRule="atLeast"/>
    </w:pPr>
    <w:rPr>
      <w:b/>
      <w:bCs/>
      <w:color w:val="4F81BD"/>
      <w:sz w:val="18"/>
      <w:szCs w:val="18"/>
    </w:rPr>
  </w:style>
  <w:style w:type="paragraph" w:styleId="af7">
    <w:name w:val="No Spacing"/>
    <w:rsid w:val="00AE2222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f8">
    <w:name w:val="List Paragraph"/>
    <w:basedOn w:val="a0"/>
    <w:rsid w:val="00AE2222"/>
    <w:pPr>
      <w:ind w:left="720"/>
      <w:contextualSpacing/>
    </w:pPr>
  </w:style>
  <w:style w:type="paragraph" w:customStyle="1" w:styleId="af9">
    <w:name w:val="Сноска"/>
    <w:basedOn w:val="af5"/>
    <w:rsid w:val="00AE2222"/>
    <w:pPr>
      <w:ind w:left="142" w:hanging="142"/>
      <w:jc w:val="both"/>
    </w:pPr>
  </w:style>
  <w:style w:type="paragraph" w:styleId="afa">
    <w:name w:val="Balloon Text"/>
    <w:basedOn w:val="a0"/>
    <w:rsid w:val="00AE222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b">
    <w:name w:val="header"/>
    <w:basedOn w:val="a0"/>
    <w:rsid w:val="00AE2222"/>
    <w:pPr>
      <w:tabs>
        <w:tab w:val="center" w:pos="4677"/>
        <w:tab w:val="right" w:pos="9355"/>
      </w:tabs>
      <w:spacing w:after="0" w:line="100" w:lineRule="atLeast"/>
    </w:pPr>
  </w:style>
  <w:style w:type="paragraph" w:styleId="afc">
    <w:name w:val="footer"/>
    <w:basedOn w:val="a0"/>
    <w:rsid w:val="00AE2222"/>
    <w:pPr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6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2016-04-14T19:09:00Z</cp:lastPrinted>
  <dcterms:created xsi:type="dcterms:W3CDTF">2016-04-10T12:17:00Z</dcterms:created>
  <dcterms:modified xsi:type="dcterms:W3CDTF">2016-04-19T07:43:00Z</dcterms:modified>
</cp:coreProperties>
</file>